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5599"/>
        <w:gridCol w:w="4027"/>
      </w:tblGrid>
      <w:tr w:rsidR="00C30B28" w:rsidRPr="00C30B28">
        <w:trPr>
          <w:trHeight w:val="540"/>
          <w:jc w:val="center"/>
        </w:trPr>
        <w:tc>
          <w:tcPr>
            <w:tcW w:w="0" w:type="auto"/>
            <w:shd w:val="clear" w:color="auto" w:fill="717171"/>
            <w:tcMar>
              <w:top w:w="0" w:type="dxa"/>
              <w:left w:w="300" w:type="dxa"/>
              <w:bottom w:w="0" w:type="dxa"/>
              <w:right w:w="300" w:type="dxa"/>
            </w:tcMar>
            <w:vAlign w:val="center"/>
            <w:hideMark/>
          </w:tcPr>
          <w:p w:rsidR="00C30B28" w:rsidRPr="00C30B28" w:rsidRDefault="00C30B28" w:rsidP="00C30B28">
            <w:pPr>
              <w:spacing w:after="0" w:line="240" w:lineRule="auto"/>
              <w:rPr>
                <w:rFonts w:ascii="Times New Roman" w:eastAsia="Times New Roman" w:hAnsi="Times New Roman" w:cs="Times New Roman"/>
                <w:sz w:val="24"/>
                <w:szCs w:val="24"/>
                <w:lang w:eastAsia="en-GB"/>
              </w:rPr>
            </w:pPr>
            <w:r w:rsidRPr="00C30B28">
              <w:rPr>
                <w:rFonts w:ascii="Arial" w:eastAsia="Times New Roman" w:hAnsi="Arial" w:cs="Arial"/>
                <w:b/>
                <w:bCs/>
                <w:color w:val="FFFFFF"/>
                <w:sz w:val="21"/>
                <w:lang w:eastAsia="en-GB"/>
              </w:rPr>
              <w:t>General news &amp; updates</w:t>
            </w:r>
          </w:p>
        </w:tc>
        <w:tc>
          <w:tcPr>
            <w:tcW w:w="0" w:type="auto"/>
            <w:shd w:val="clear" w:color="auto" w:fill="717171"/>
            <w:tcMar>
              <w:top w:w="0" w:type="dxa"/>
              <w:left w:w="300" w:type="dxa"/>
              <w:bottom w:w="0" w:type="dxa"/>
              <w:right w:w="300" w:type="dxa"/>
            </w:tcMar>
            <w:vAlign w:val="center"/>
            <w:hideMark/>
          </w:tcPr>
          <w:p w:rsidR="00C30B28" w:rsidRPr="00C30B28" w:rsidRDefault="00C30B28" w:rsidP="00C30B28">
            <w:pPr>
              <w:spacing w:after="0" w:line="240" w:lineRule="auto"/>
              <w:jc w:val="right"/>
              <w:rPr>
                <w:rFonts w:ascii="Times New Roman" w:eastAsia="Times New Roman" w:hAnsi="Times New Roman" w:cs="Times New Roman"/>
                <w:sz w:val="24"/>
                <w:szCs w:val="24"/>
                <w:lang w:eastAsia="en-GB"/>
              </w:rPr>
            </w:pPr>
            <w:r w:rsidRPr="00C30B28">
              <w:rPr>
                <w:rFonts w:ascii="Arial" w:eastAsia="Times New Roman" w:hAnsi="Arial" w:cs="Arial"/>
                <w:color w:val="FFFFFF"/>
                <w:sz w:val="21"/>
                <w:szCs w:val="21"/>
                <w:lang w:eastAsia="en-GB"/>
              </w:rPr>
              <w:t>February 2013</w:t>
            </w:r>
          </w:p>
        </w:tc>
      </w:tr>
      <w:tr w:rsidR="00C30B28" w:rsidRPr="00C30B28">
        <w:trPr>
          <w:jc w:val="center"/>
        </w:trPr>
        <w:tc>
          <w:tcPr>
            <w:tcW w:w="0" w:type="auto"/>
            <w:gridSpan w:val="2"/>
            <w:hideMark/>
          </w:tcPr>
          <w:tbl>
            <w:tblPr>
              <w:tblW w:w="5000" w:type="pct"/>
              <w:tblCellSpacing w:w="0" w:type="dxa"/>
              <w:shd w:val="clear" w:color="auto" w:fill="FFFFFF"/>
              <w:tblCellMar>
                <w:left w:w="0" w:type="dxa"/>
                <w:right w:w="0" w:type="dxa"/>
              </w:tblCellMar>
              <w:tblLook w:val="04A0"/>
            </w:tblPr>
            <w:tblGrid>
              <w:gridCol w:w="9626"/>
            </w:tblGrid>
            <w:tr w:rsidR="00C30B28" w:rsidRPr="00C30B28">
              <w:trPr>
                <w:tblCellSpacing w:w="0" w:type="dxa"/>
              </w:trPr>
              <w:tc>
                <w:tcPr>
                  <w:tcW w:w="0" w:type="auto"/>
                  <w:shd w:val="clear" w:color="auto" w:fill="FFFFFF"/>
                  <w:hideMark/>
                </w:tcPr>
                <w:tbl>
                  <w:tblPr>
                    <w:tblW w:w="5000" w:type="pct"/>
                    <w:tblCellSpacing w:w="0" w:type="dxa"/>
                    <w:shd w:val="clear" w:color="auto" w:fill="FFFFFF"/>
                    <w:tblCellMar>
                      <w:left w:w="0" w:type="dxa"/>
                      <w:right w:w="0" w:type="dxa"/>
                    </w:tblCellMar>
                    <w:tblLook w:val="04A0"/>
                  </w:tblPr>
                  <w:tblGrid>
                    <w:gridCol w:w="9626"/>
                  </w:tblGrid>
                  <w:tr w:rsidR="00C30B28" w:rsidRPr="00C30B28">
                    <w:trPr>
                      <w:trHeight w:val="75"/>
                      <w:tblCellSpacing w:w="0" w:type="dxa"/>
                    </w:trPr>
                    <w:tc>
                      <w:tcPr>
                        <w:tcW w:w="0" w:type="auto"/>
                        <w:shd w:val="clear" w:color="auto" w:fill="FFFFFF"/>
                        <w:vAlign w:val="center"/>
                        <w:hideMark/>
                      </w:tcPr>
                      <w:p w:rsidR="00C30B28" w:rsidRPr="00C30B28" w:rsidRDefault="00C30B28" w:rsidP="00C30B28">
                        <w:pPr>
                          <w:spacing w:after="0" w:line="240" w:lineRule="auto"/>
                          <w:rPr>
                            <w:rFonts w:ascii="Times New Roman" w:eastAsia="Times New Roman" w:hAnsi="Times New Roman" w:cs="Times New Roman"/>
                            <w:sz w:val="8"/>
                            <w:szCs w:val="24"/>
                            <w:lang w:eastAsia="en-GB"/>
                          </w:rPr>
                        </w:pPr>
                      </w:p>
                    </w:tc>
                  </w:tr>
                  <w:tr w:rsidR="00C30B28" w:rsidRPr="00C30B28">
                    <w:trPr>
                      <w:tblCellSpacing w:w="0" w:type="dxa"/>
                    </w:trPr>
                    <w:tc>
                      <w:tcPr>
                        <w:tcW w:w="0" w:type="auto"/>
                        <w:shd w:val="clear" w:color="auto" w:fill="FFFFFF"/>
                        <w:vAlign w:val="center"/>
                        <w:hideMark/>
                      </w:tcPr>
                      <w:p w:rsidR="00C30B28" w:rsidRPr="00C30B28" w:rsidRDefault="00C30B28" w:rsidP="00C30B28">
                        <w:pPr>
                          <w:spacing w:after="0" w:line="240" w:lineRule="auto"/>
                          <w:rPr>
                            <w:rFonts w:ascii="Times New Roman" w:eastAsia="Times New Roman" w:hAnsi="Times New Roman" w:cs="Times New Roman"/>
                            <w:sz w:val="24"/>
                            <w:szCs w:val="24"/>
                            <w:lang w:eastAsia="en-GB"/>
                          </w:rPr>
                        </w:pPr>
                      </w:p>
                    </w:tc>
                  </w:tr>
                  <w:tr w:rsidR="00C30B28" w:rsidRPr="00C30B28">
                    <w:trPr>
                      <w:tblCellSpacing w:w="0" w:type="dxa"/>
                    </w:trPr>
                    <w:tc>
                      <w:tcPr>
                        <w:tcW w:w="0" w:type="auto"/>
                        <w:shd w:val="clear" w:color="auto" w:fill="FFFFFF"/>
                        <w:tcMar>
                          <w:top w:w="0" w:type="dxa"/>
                          <w:left w:w="300" w:type="dxa"/>
                          <w:bottom w:w="0" w:type="dxa"/>
                          <w:right w:w="300" w:type="dxa"/>
                        </w:tcMar>
                        <w:vAlign w:val="center"/>
                        <w:hideMark/>
                      </w:tcPr>
                      <w:p w:rsidR="00C30B28" w:rsidRPr="00C30B28" w:rsidRDefault="00C30B28" w:rsidP="00C30B28">
                        <w:pPr>
                          <w:spacing w:after="120" w:line="270" w:lineRule="atLeast"/>
                          <w:ind w:left="150" w:right="150"/>
                          <w:jc w:val="center"/>
                          <w:rPr>
                            <w:rFonts w:ascii="Times New Roman" w:eastAsia="Times New Roman" w:hAnsi="Times New Roman" w:cs="Times New Roman"/>
                            <w:sz w:val="24"/>
                            <w:szCs w:val="24"/>
                            <w:lang w:eastAsia="en-GB"/>
                          </w:rPr>
                        </w:pPr>
                        <w:r w:rsidRPr="00C30B28">
                          <w:rPr>
                            <w:rFonts w:ascii="Verdana" w:eastAsia="Times New Roman" w:hAnsi="Verdana" w:cs="Times New Roman"/>
                            <w:b/>
                            <w:bCs/>
                            <w:color w:val="4A4A4A"/>
                            <w:lang w:eastAsia="en-GB"/>
                          </w:rPr>
                          <w:t>NICE good practice guidance on patient group directions –</w:t>
                        </w:r>
                        <w:r w:rsidRPr="00C30B28">
                          <w:rPr>
                            <w:rFonts w:ascii="Verdana" w:eastAsia="Times New Roman" w:hAnsi="Verdana" w:cs="Times New Roman"/>
                            <w:b/>
                            <w:bCs/>
                            <w:color w:val="4A4A4A"/>
                            <w:lang w:eastAsia="en-GB"/>
                          </w:rPr>
                          <w:br/>
                          <w:t>stakeholder registration</w:t>
                        </w:r>
                      </w:p>
                      <w:p w:rsidR="00C30B28" w:rsidRPr="00C30B28" w:rsidRDefault="00C30B28" w:rsidP="00C30B28">
                        <w:pPr>
                          <w:spacing w:after="120" w:line="270" w:lineRule="atLeast"/>
                          <w:ind w:left="150" w:right="150"/>
                          <w:rPr>
                            <w:rFonts w:ascii="Times New Roman" w:eastAsia="Times New Roman" w:hAnsi="Times New Roman" w:cs="Times New Roman"/>
                            <w:sz w:val="24"/>
                            <w:szCs w:val="24"/>
                            <w:lang w:eastAsia="en-GB"/>
                          </w:rPr>
                        </w:pPr>
                        <w:r w:rsidRPr="00C30B28">
                          <w:rPr>
                            <w:rFonts w:ascii="Verdana" w:eastAsia="Times New Roman" w:hAnsi="Verdana" w:cs="Times New Roman"/>
                            <w:color w:val="4A4A4A"/>
                            <w:sz w:val="20"/>
                            <w:szCs w:val="20"/>
                            <w:lang w:eastAsia="en-GB"/>
                          </w:rPr>
                          <w:t>The National Institute for Health and Clinical Excellence (NICE) is developing good practice guidance on patient group directions (PGDs).</w:t>
                        </w:r>
                      </w:p>
                      <w:p w:rsidR="00C30B28" w:rsidRPr="00C30B28" w:rsidRDefault="00C30B28" w:rsidP="00C30B28">
                        <w:pPr>
                          <w:spacing w:after="120" w:line="270" w:lineRule="atLeast"/>
                          <w:ind w:left="150" w:right="150"/>
                          <w:rPr>
                            <w:rFonts w:ascii="Times New Roman" w:eastAsia="Times New Roman" w:hAnsi="Times New Roman" w:cs="Times New Roman"/>
                            <w:sz w:val="24"/>
                            <w:szCs w:val="24"/>
                            <w:lang w:eastAsia="en-GB"/>
                          </w:rPr>
                        </w:pPr>
                        <w:r w:rsidRPr="00C30B28">
                          <w:rPr>
                            <w:rFonts w:ascii="Verdana" w:eastAsia="Times New Roman" w:hAnsi="Verdana" w:cs="Times New Roman"/>
                            <w:color w:val="4A4A4A"/>
                            <w:sz w:val="20"/>
                            <w:szCs w:val="20"/>
                            <w:lang w:eastAsia="en-GB"/>
                          </w:rPr>
                          <w:t>A patient group direction (PGD) is a legal mechanism that allows named registered healthcare professionals to supply and/or administer medicines to groups of patients that fit the criteria laid out in the PGD. This good practice guidance will provide recommendations on the systems, processes and legislation relating to developing, authorising, using and updating PGDs by providers of NHS services, to ensure that patients receive appropriate and timely access to their medicines.</w:t>
                        </w:r>
                      </w:p>
                      <w:p w:rsidR="00C30B28" w:rsidRPr="00C30B28" w:rsidRDefault="00C30B28" w:rsidP="00C30B28">
                        <w:pPr>
                          <w:spacing w:after="120" w:line="270" w:lineRule="atLeast"/>
                          <w:ind w:left="150" w:right="150"/>
                          <w:rPr>
                            <w:rFonts w:ascii="Times New Roman" w:eastAsia="Times New Roman" w:hAnsi="Times New Roman" w:cs="Times New Roman"/>
                            <w:sz w:val="24"/>
                            <w:szCs w:val="24"/>
                            <w:lang w:eastAsia="en-GB"/>
                          </w:rPr>
                        </w:pPr>
                        <w:r w:rsidRPr="00C30B28">
                          <w:rPr>
                            <w:rFonts w:ascii="Verdana" w:eastAsia="Times New Roman" w:hAnsi="Verdana" w:cs="Times New Roman"/>
                            <w:color w:val="4A4A4A"/>
                            <w:sz w:val="20"/>
                            <w:szCs w:val="20"/>
                            <w:lang w:eastAsia="en-GB"/>
                          </w:rPr>
                          <w:t>The guidance development is following the NICE interim process statement for the production of good practice guidance. The process includes a four week period of consultation starting in March. The final version will be published in June.</w:t>
                        </w:r>
                      </w:p>
                      <w:p w:rsidR="00C30B28" w:rsidRPr="00C30B28" w:rsidRDefault="00C30B28" w:rsidP="00C30B28">
                        <w:pPr>
                          <w:spacing w:after="120" w:line="270" w:lineRule="atLeast"/>
                          <w:ind w:left="150" w:right="150"/>
                          <w:rPr>
                            <w:rFonts w:ascii="Times New Roman" w:eastAsia="Times New Roman" w:hAnsi="Times New Roman" w:cs="Times New Roman"/>
                            <w:sz w:val="24"/>
                            <w:szCs w:val="24"/>
                            <w:lang w:eastAsia="en-GB"/>
                          </w:rPr>
                        </w:pPr>
                        <w:r w:rsidRPr="00C30B28">
                          <w:rPr>
                            <w:rFonts w:ascii="Verdana" w:eastAsia="Times New Roman" w:hAnsi="Verdana" w:cs="Times New Roman"/>
                            <w:color w:val="4A4A4A"/>
                            <w:sz w:val="20"/>
                            <w:szCs w:val="20"/>
                            <w:lang w:eastAsia="en-GB"/>
                          </w:rPr>
                          <w:t xml:space="preserve">To submit comments during the consultation, an organisation must register as a stakeholder for this guidance. To register your organisation as a stakeholder* send registration details (name of organisation, name of contact, email address) to </w:t>
                        </w:r>
                        <w:hyperlink r:id="rId5" w:history="1">
                          <w:r w:rsidRPr="00C30B28">
                            <w:rPr>
                              <w:rFonts w:ascii="Arial" w:eastAsia="Times New Roman" w:hAnsi="Arial" w:cs="Arial"/>
                              <w:color w:val="11527C"/>
                              <w:sz w:val="20"/>
                              <w:u w:val="single"/>
                              <w:lang w:eastAsia="en-GB"/>
                            </w:rPr>
                            <w:t>pgd@nice.org.uk</w:t>
                          </w:r>
                        </w:hyperlink>
                        <w:r w:rsidRPr="00C30B28">
                          <w:rPr>
                            <w:rFonts w:ascii="Verdana" w:eastAsia="Times New Roman" w:hAnsi="Verdana" w:cs="Times New Roman"/>
                            <w:color w:val="4A4A4A"/>
                            <w:sz w:val="20"/>
                            <w:szCs w:val="20"/>
                            <w:lang w:eastAsia="en-GB"/>
                          </w:rPr>
                          <w:t xml:space="preserve"> using the subject heading </w:t>
                        </w:r>
                        <w:r w:rsidRPr="00C30B28">
                          <w:rPr>
                            <w:rFonts w:ascii="Verdana" w:eastAsia="Times New Roman" w:hAnsi="Verdana" w:cs="Times New Roman"/>
                            <w:b/>
                            <w:bCs/>
                            <w:color w:val="4A4A4A"/>
                            <w:sz w:val="20"/>
                            <w:lang w:eastAsia="en-GB"/>
                          </w:rPr>
                          <w:t>Patient group directions GPG stakeholder registration 2012/13</w:t>
                        </w:r>
                      </w:p>
                      <w:p w:rsidR="00C30B28" w:rsidRPr="00C30B28" w:rsidRDefault="00C30B28" w:rsidP="00C30B28">
                        <w:pPr>
                          <w:spacing w:after="120" w:line="270" w:lineRule="atLeast"/>
                          <w:ind w:left="150" w:right="150"/>
                          <w:rPr>
                            <w:rFonts w:ascii="Times New Roman" w:eastAsia="Times New Roman" w:hAnsi="Times New Roman" w:cs="Times New Roman"/>
                            <w:sz w:val="24"/>
                            <w:szCs w:val="24"/>
                            <w:lang w:eastAsia="en-GB"/>
                          </w:rPr>
                        </w:pPr>
                        <w:r w:rsidRPr="00C30B28">
                          <w:rPr>
                            <w:rFonts w:ascii="Verdana" w:eastAsia="Times New Roman" w:hAnsi="Verdana" w:cs="Times New Roman"/>
                            <w:color w:val="4A4A4A"/>
                            <w:sz w:val="20"/>
                            <w:szCs w:val="20"/>
                            <w:lang w:eastAsia="en-GB"/>
                          </w:rPr>
                          <w:t xml:space="preserve">If you would like any further information regarding the project, please contact the project team via </w:t>
                        </w:r>
                        <w:hyperlink r:id="rId6" w:history="1">
                          <w:r w:rsidRPr="00C30B28">
                            <w:rPr>
                              <w:rFonts w:ascii="Arial" w:eastAsia="Times New Roman" w:hAnsi="Arial" w:cs="Arial"/>
                              <w:color w:val="11527C"/>
                              <w:sz w:val="20"/>
                              <w:u w:val="single"/>
                              <w:lang w:eastAsia="en-GB"/>
                            </w:rPr>
                            <w:t>pgd@nice.org.uk</w:t>
                          </w:r>
                        </w:hyperlink>
                        <w:r w:rsidRPr="00C30B28">
                          <w:rPr>
                            <w:rFonts w:ascii="Verdana" w:eastAsia="Times New Roman" w:hAnsi="Verdana" w:cs="Times New Roman"/>
                            <w:color w:val="4A4A4A"/>
                            <w:sz w:val="20"/>
                            <w:szCs w:val="20"/>
                            <w:lang w:eastAsia="en-GB"/>
                          </w:rPr>
                          <w:t>.</w:t>
                        </w:r>
                      </w:p>
                      <w:p w:rsidR="00C30B28" w:rsidRPr="00C30B28" w:rsidRDefault="00C30B28" w:rsidP="00C30B28">
                        <w:pPr>
                          <w:spacing w:after="120" w:line="270" w:lineRule="atLeast"/>
                          <w:ind w:left="150" w:right="150"/>
                          <w:rPr>
                            <w:rFonts w:ascii="Times New Roman" w:eastAsia="Times New Roman" w:hAnsi="Times New Roman" w:cs="Times New Roman"/>
                            <w:sz w:val="24"/>
                            <w:szCs w:val="24"/>
                            <w:lang w:eastAsia="en-GB"/>
                          </w:rPr>
                        </w:pPr>
                        <w:r w:rsidRPr="00C30B28">
                          <w:rPr>
                            <w:rFonts w:ascii="Verdana" w:eastAsia="Times New Roman" w:hAnsi="Verdana" w:cs="Times New Roman"/>
                            <w:color w:val="4A4A4A"/>
                            <w:sz w:val="20"/>
                            <w:szCs w:val="20"/>
                            <w:lang w:eastAsia="en-GB"/>
                          </w:rPr>
                          <w:t>*for the purposes of this guidance stakeholders are:</w:t>
                        </w:r>
                      </w:p>
                      <w:p w:rsidR="00C30B28" w:rsidRPr="00C30B28" w:rsidRDefault="00C30B28" w:rsidP="00C30B28">
                        <w:pPr>
                          <w:numPr>
                            <w:ilvl w:val="0"/>
                            <w:numId w:val="1"/>
                          </w:numPr>
                          <w:spacing w:after="0" w:line="240" w:lineRule="auto"/>
                          <w:rPr>
                            <w:rFonts w:ascii="Times New Roman" w:eastAsia="Times New Roman" w:hAnsi="Times New Roman" w:cs="Times New Roman"/>
                            <w:color w:val="4A4A4A"/>
                            <w:sz w:val="24"/>
                            <w:szCs w:val="24"/>
                            <w:lang w:eastAsia="en-GB"/>
                          </w:rPr>
                        </w:pPr>
                        <w:r w:rsidRPr="00C30B28">
                          <w:rPr>
                            <w:rFonts w:ascii="Verdana" w:eastAsia="Times New Roman" w:hAnsi="Verdana" w:cs="Times New Roman"/>
                            <w:color w:val="4A4A4A"/>
                            <w:sz w:val="20"/>
                            <w:szCs w:val="20"/>
                            <w:lang w:eastAsia="en-GB"/>
                          </w:rPr>
                          <w:t>national patient and carer organisations that directly or indirectly represent the interests of people whose care is covered by the guidance</w:t>
                        </w:r>
                        <w:r w:rsidRPr="00C30B28">
                          <w:rPr>
                            <w:rFonts w:ascii="Times New Roman" w:eastAsia="Times New Roman" w:hAnsi="Times New Roman" w:cs="Times New Roman"/>
                            <w:color w:val="4A4A4A"/>
                            <w:sz w:val="24"/>
                            <w:szCs w:val="24"/>
                            <w:lang w:eastAsia="en-GB"/>
                          </w:rPr>
                          <w:t xml:space="preserve"> </w:t>
                        </w:r>
                      </w:p>
                      <w:p w:rsidR="00C30B28" w:rsidRPr="00C30B28" w:rsidRDefault="00C30B28" w:rsidP="00C30B28">
                        <w:pPr>
                          <w:numPr>
                            <w:ilvl w:val="0"/>
                            <w:numId w:val="1"/>
                          </w:numPr>
                          <w:spacing w:after="0" w:line="240" w:lineRule="auto"/>
                          <w:rPr>
                            <w:rFonts w:ascii="Times New Roman" w:eastAsia="Times New Roman" w:hAnsi="Times New Roman" w:cs="Times New Roman"/>
                            <w:color w:val="4A4A4A"/>
                            <w:sz w:val="24"/>
                            <w:szCs w:val="24"/>
                            <w:lang w:eastAsia="en-GB"/>
                          </w:rPr>
                        </w:pPr>
                        <w:r w:rsidRPr="00C30B28">
                          <w:rPr>
                            <w:rFonts w:ascii="Verdana" w:eastAsia="Times New Roman" w:hAnsi="Verdana" w:cs="Times New Roman"/>
                            <w:color w:val="4A4A4A"/>
                            <w:sz w:val="20"/>
                            <w:szCs w:val="20"/>
                            <w:lang w:eastAsia="en-GB"/>
                          </w:rPr>
                          <w:t>national organisations that represent the healthcare professionals who provide the services described in the guidance</w:t>
                        </w:r>
                        <w:r w:rsidRPr="00C30B28">
                          <w:rPr>
                            <w:rFonts w:ascii="Times New Roman" w:eastAsia="Times New Roman" w:hAnsi="Times New Roman" w:cs="Times New Roman"/>
                            <w:color w:val="4A4A4A"/>
                            <w:sz w:val="24"/>
                            <w:szCs w:val="24"/>
                            <w:lang w:eastAsia="en-GB"/>
                          </w:rPr>
                          <w:t xml:space="preserve"> </w:t>
                        </w:r>
                      </w:p>
                      <w:p w:rsidR="00C30B28" w:rsidRPr="00C30B28" w:rsidRDefault="00C30B28" w:rsidP="00C30B28">
                        <w:pPr>
                          <w:numPr>
                            <w:ilvl w:val="0"/>
                            <w:numId w:val="1"/>
                          </w:numPr>
                          <w:spacing w:after="0" w:line="240" w:lineRule="auto"/>
                          <w:rPr>
                            <w:rFonts w:ascii="Times New Roman" w:eastAsia="Times New Roman" w:hAnsi="Times New Roman" w:cs="Times New Roman"/>
                            <w:color w:val="4A4A4A"/>
                            <w:sz w:val="24"/>
                            <w:szCs w:val="24"/>
                            <w:lang w:eastAsia="en-GB"/>
                          </w:rPr>
                        </w:pPr>
                        <w:r w:rsidRPr="00C30B28">
                          <w:rPr>
                            <w:rFonts w:ascii="Verdana" w:eastAsia="Times New Roman" w:hAnsi="Verdana" w:cs="Times New Roman"/>
                            <w:color w:val="4A4A4A"/>
                            <w:sz w:val="20"/>
                            <w:szCs w:val="20"/>
                            <w:lang w:eastAsia="en-GB"/>
                          </w:rPr>
                          <w:t>companies that manufacture the medicines or devices used in the area covered by the guidance and whose interests may be significantly affected by the guidance</w:t>
                        </w:r>
                        <w:r w:rsidRPr="00C30B28">
                          <w:rPr>
                            <w:rFonts w:ascii="Times New Roman" w:eastAsia="Times New Roman" w:hAnsi="Times New Roman" w:cs="Times New Roman"/>
                            <w:color w:val="4A4A4A"/>
                            <w:sz w:val="24"/>
                            <w:szCs w:val="24"/>
                            <w:lang w:eastAsia="en-GB"/>
                          </w:rPr>
                          <w:t xml:space="preserve"> </w:t>
                        </w:r>
                      </w:p>
                      <w:p w:rsidR="00C30B28" w:rsidRPr="00C30B28" w:rsidRDefault="00C30B28" w:rsidP="00C30B28">
                        <w:pPr>
                          <w:numPr>
                            <w:ilvl w:val="0"/>
                            <w:numId w:val="1"/>
                          </w:numPr>
                          <w:spacing w:after="0" w:line="240" w:lineRule="auto"/>
                          <w:rPr>
                            <w:rFonts w:ascii="Times New Roman" w:eastAsia="Times New Roman" w:hAnsi="Times New Roman" w:cs="Times New Roman"/>
                            <w:color w:val="4A4A4A"/>
                            <w:sz w:val="24"/>
                            <w:szCs w:val="24"/>
                            <w:lang w:eastAsia="en-GB"/>
                          </w:rPr>
                        </w:pPr>
                        <w:r w:rsidRPr="00C30B28">
                          <w:rPr>
                            <w:rFonts w:ascii="Verdana" w:eastAsia="Times New Roman" w:hAnsi="Verdana" w:cs="Times New Roman"/>
                            <w:color w:val="4A4A4A"/>
                            <w:sz w:val="20"/>
                            <w:szCs w:val="20"/>
                            <w:lang w:eastAsia="en-GB"/>
                          </w:rPr>
                          <w:t>providers and commissioners of health services in England, Wales and Northern Ireland</w:t>
                        </w:r>
                        <w:r w:rsidRPr="00C30B28">
                          <w:rPr>
                            <w:rFonts w:ascii="Times New Roman" w:eastAsia="Times New Roman" w:hAnsi="Times New Roman" w:cs="Times New Roman"/>
                            <w:color w:val="4A4A4A"/>
                            <w:sz w:val="24"/>
                            <w:szCs w:val="24"/>
                            <w:lang w:eastAsia="en-GB"/>
                          </w:rPr>
                          <w:t xml:space="preserve"> </w:t>
                        </w:r>
                      </w:p>
                      <w:p w:rsidR="00C30B28" w:rsidRPr="00C30B28" w:rsidRDefault="00C30B28" w:rsidP="00C30B28">
                        <w:pPr>
                          <w:numPr>
                            <w:ilvl w:val="0"/>
                            <w:numId w:val="1"/>
                          </w:numPr>
                          <w:spacing w:after="0" w:line="240" w:lineRule="auto"/>
                          <w:rPr>
                            <w:rFonts w:ascii="Times New Roman" w:eastAsia="Times New Roman" w:hAnsi="Times New Roman" w:cs="Times New Roman"/>
                            <w:color w:val="4A4A4A"/>
                            <w:sz w:val="24"/>
                            <w:szCs w:val="24"/>
                            <w:lang w:eastAsia="en-GB"/>
                          </w:rPr>
                        </w:pPr>
                        <w:r w:rsidRPr="00C30B28">
                          <w:rPr>
                            <w:rFonts w:ascii="Verdana" w:eastAsia="Times New Roman" w:hAnsi="Verdana" w:cs="Times New Roman"/>
                            <w:color w:val="4A4A4A"/>
                            <w:sz w:val="20"/>
                            <w:szCs w:val="20"/>
                            <w:lang w:eastAsia="en-GB"/>
                          </w:rPr>
                          <w:t>statutory organisations including the Department of Health, the Welsh Assembly Government, NHS Quality Improvement Scotland, the Healthcare Commission and the National Patient Safety Agency</w:t>
                        </w:r>
                        <w:r w:rsidRPr="00C30B28">
                          <w:rPr>
                            <w:rFonts w:ascii="Times New Roman" w:eastAsia="Times New Roman" w:hAnsi="Times New Roman" w:cs="Times New Roman"/>
                            <w:color w:val="4A4A4A"/>
                            <w:sz w:val="24"/>
                            <w:szCs w:val="24"/>
                            <w:lang w:eastAsia="en-GB"/>
                          </w:rPr>
                          <w:t xml:space="preserve"> </w:t>
                        </w:r>
                      </w:p>
                      <w:p w:rsidR="00C30B28" w:rsidRPr="00C30B28" w:rsidRDefault="00C30B28" w:rsidP="00C30B28">
                        <w:pPr>
                          <w:numPr>
                            <w:ilvl w:val="0"/>
                            <w:numId w:val="1"/>
                          </w:numPr>
                          <w:spacing w:after="0" w:line="240" w:lineRule="auto"/>
                          <w:rPr>
                            <w:rFonts w:ascii="Times New Roman" w:eastAsia="Times New Roman" w:hAnsi="Times New Roman" w:cs="Times New Roman"/>
                            <w:color w:val="4A4A4A"/>
                            <w:sz w:val="24"/>
                            <w:szCs w:val="24"/>
                            <w:lang w:eastAsia="en-GB"/>
                          </w:rPr>
                        </w:pPr>
                        <w:r w:rsidRPr="00C30B28">
                          <w:rPr>
                            <w:rFonts w:ascii="Verdana" w:eastAsia="Times New Roman" w:hAnsi="Verdana" w:cs="Times New Roman"/>
                            <w:color w:val="4A4A4A"/>
                            <w:sz w:val="20"/>
                            <w:szCs w:val="20"/>
                            <w:lang w:eastAsia="en-GB"/>
                          </w:rPr>
                          <w:t>research organisations that have done nationally recognised research in the area</w:t>
                        </w:r>
                      </w:p>
                    </w:tc>
                  </w:tr>
                </w:tbl>
                <w:p w:rsidR="00C30B28" w:rsidRPr="00C30B28" w:rsidRDefault="00C30B28" w:rsidP="00C30B28">
                  <w:pPr>
                    <w:spacing w:after="0" w:line="240" w:lineRule="auto"/>
                    <w:rPr>
                      <w:rFonts w:ascii="Times New Roman" w:eastAsia="Times New Roman" w:hAnsi="Times New Roman" w:cs="Times New Roman"/>
                      <w:sz w:val="24"/>
                      <w:szCs w:val="24"/>
                      <w:lang w:eastAsia="en-GB"/>
                    </w:rPr>
                  </w:pPr>
                </w:p>
              </w:tc>
            </w:tr>
          </w:tbl>
          <w:p w:rsidR="00C30B28" w:rsidRPr="00C30B28" w:rsidRDefault="00C30B28" w:rsidP="00C30B28">
            <w:pPr>
              <w:spacing w:after="0" w:line="240" w:lineRule="auto"/>
              <w:rPr>
                <w:rFonts w:ascii="Times New Roman" w:eastAsia="Times New Roman" w:hAnsi="Times New Roman" w:cs="Times New Roman"/>
                <w:sz w:val="24"/>
                <w:szCs w:val="24"/>
                <w:lang w:eastAsia="en-GB"/>
              </w:rPr>
            </w:pPr>
          </w:p>
        </w:tc>
      </w:tr>
    </w:tbl>
    <w:p w:rsidR="00FF5EFC" w:rsidRDefault="00FF5EFC"/>
    <w:sectPr w:rsidR="00FF5EFC" w:rsidSect="00FF5E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E0523"/>
    <w:multiLevelType w:val="multilevel"/>
    <w:tmpl w:val="FC34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0B28"/>
    <w:rsid w:val="00C30B28"/>
    <w:rsid w:val="00FF5E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E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0B28"/>
    <w:rPr>
      <w:rFonts w:ascii="Arial" w:hAnsi="Arial" w:cs="Arial" w:hint="default"/>
      <w:strike w:val="0"/>
      <w:dstrike w:val="0"/>
      <w:color w:val="11527C"/>
      <w:u w:val="none"/>
      <w:effect w:val="none"/>
    </w:rPr>
  </w:style>
  <w:style w:type="character" w:styleId="Strong">
    <w:name w:val="Strong"/>
    <w:basedOn w:val="DefaultParagraphFont"/>
    <w:uiPriority w:val="22"/>
    <w:qFormat/>
    <w:rsid w:val="00C30B28"/>
    <w:rPr>
      <w:b/>
      <w:bCs/>
    </w:rPr>
  </w:style>
</w:styles>
</file>

<file path=word/webSettings.xml><?xml version="1.0" encoding="utf-8"?>
<w:webSettings xmlns:r="http://schemas.openxmlformats.org/officeDocument/2006/relationships" xmlns:w="http://schemas.openxmlformats.org/wordprocessingml/2006/main">
  <w:divs>
    <w:div w:id="151146081">
      <w:bodyDiv w:val="1"/>
      <w:marLeft w:val="0"/>
      <w:marRight w:val="0"/>
      <w:marTop w:val="0"/>
      <w:marBottom w:val="0"/>
      <w:divBdr>
        <w:top w:val="none" w:sz="0" w:space="0" w:color="auto"/>
        <w:left w:val="none" w:sz="0" w:space="0" w:color="auto"/>
        <w:bottom w:val="none" w:sz="0" w:space="0" w:color="auto"/>
        <w:right w:val="none" w:sz="0" w:space="0" w:color="auto"/>
      </w:divBdr>
      <w:divsChild>
        <w:div w:id="957830510">
          <w:marLeft w:val="0"/>
          <w:marRight w:val="0"/>
          <w:marTop w:val="0"/>
          <w:marBottom w:val="0"/>
          <w:divBdr>
            <w:top w:val="none" w:sz="0" w:space="0" w:color="auto"/>
            <w:left w:val="none" w:sz="0" w:space="0" w:color="auto"/>
            <w:bottom w:val="none" w:sz="0" w:space="0" w:color="auto"/>
            <w:right w:val="none" w:sz="0" w:space="0" w:color="auto"/>
          </w:divBdr>
          <w:divsChild>
            <w:div w:id="11697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nhs.net/owa/redir.aspx?C=6zfvjC1bIE-13hEvtTrzwJbIyjYa5M9Idq001WeqroPg9Bsu9UZ6Ftd2em71F2tL4Fm3RSNfIug.&amp;URL=mailto%3apgd%40nice.org.uk" TargetMode="External"/><Relationship Id="rId5" Type="http://schemas.openxmlformats.org/officeDocument/2006/relationships/hyperlink" Target="https://web.nhs.net/owa/redir.aspx?C=6zfvjC1bIE-13hEvtTrzwJbIyjYa5M9Idq001WeqroPg9Bsu9UZ6Ftd2em71F2tL4Fm3RSNfIug.&amp;URL=mailto%3apgd%40nic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1</cp:revision>
  <dcterms:created xsi:type="dcterms:W3CDTF">2013-02-21T22:38:00Z</dcterms:created>
  <dcterms:modified xsi:type="dcterms:W3CDTF">2013-02-21T22:38:00Z</dcterms:modified>
</cp:coreProperties>
</file>